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theme/themeOverride4.xml" ContentType="application/vnd.openxmlformats-officedocument.themeOverride+xml"/>
  <Override PartName="/word/charts/chart5.xml" ContentType="application/vnd.openxmlformats-officedocument.drawingml.chart+xml"/>
  <Override PartName="/word/theme/themeOverride5.xml" ContentType="application/vnd.openxmlformats-officedocument.themeOverride+xml"/>
  <Override PartName="/word/charts/chart6.xml" ContentType="application/vnd.openxmlformats-officedocument.drawingml.chart+xml"/>
  <Override PartName="/word/theme/themeOverride6.xml" ContentType="application/vnd.openxmlformats-officedocument.themeOverride+xml"/>
  <Override PartName="/word/charts/chart7.xml" ContentType="application/vnd.openxmlformats-officedocument.drawingml.chart+xml"/>
  <Override PartName="/word/theme/themeOverride7.xml" ContentType="application/vnd.openxmlformats-officedocument.themeOverride+xml"/>
  <Override PartName="/word/charts/chart8.xml" ContentType="application/vnd.openxmlformats-officedocument.drawingml.chart+xml"/>
  <Override PartName="/word/theme/themeOverride8.xml" ContentType="application/vnd.openxmlformats-officedocument.themeOverride+xml"/>
  <Override PartName="/word/charts/chart9.xml" ContentType="application/vnd.openxmlformats-officedocument.drawingml.chart+xml"/>
  <Override PartName="/word/theme/themeOverride9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B12" w:rsidRDefault="00185B12" w:rsidP="00185B12">
      <w:pPr>
        <w:contextualSpacing/>
        <w:jc w:val="both"/>
        <w:rPr>
          <w:b/>
          <w:color w:val="000000"/>
          <w:kern w:val="24"/>
          <w:sz w:val="28"/>
          <w:szCs w:val="28"/>
        </w:rPr>
      </w:pPr>
      <w:r w:rsidRPr="00EB7450">
        <w:rPr>
          <w:b/>
          <w:color w:val="000000"/>
          <w:kern w:val="24"/>
          <w:sz w:val="28"/>
          <w:szCs w:val="28"/>
        </w:rPr>
        <w:t>Результаты опросов обучающихся Ирбейского филиала об удовлетворенности условиями, содержанием, организацией и качеством образовательного процесса в целом и отдельных дисциплин (модулей) и практик в рамках реализации образовательной программы среднего профессионального образования</w:t>
      </w:r>
      <w:r w:rsidR="00907315">
        <w:rPr>
          <w:b/>
          <w:color w:val="000000"/>
          <w:kern w:val="24"/>
          <w:sz w:val="28"/>
          <w:szCs w:val="28"/>
        </w:rPr>
        <w:t xml:space="preserve"> по профессии 35.01.13 Тракторист- машинист сельскохозяйственного производства.</w:t>
      </w:r>
      <w:bookmarkStart w:id="0" w:name="_GoBack"/>
      <w:bookmarkEnd w:id="0"/>
    </w:p>
    <w:p w:rsidR="00185B12" w:rsidRDefault="00185B12" w:rsidP="00185B12">
      <w:pPr>
        <w:contextualSpacing/>
        <w:jc w:val="both"/>
        <w:rPr>
          <w:color w:val="000000"/>
          <w:kern w:val="24"/>
          <w:sz w:val="28"/>
          <w:szCs w:val="28"/>
        </w:rPr>
      </w:pPr>
    </w:p>
    <w:p w:rsidR="00185B12" w:rsidRDefault="00185B12" w:rsidP="00185B12">
      <w:pPr>
        <w:contextualSpacing/>
        <w:jc w:val="both"/>
        <w:rPr>
          <w:color w:val="000000"/>
          <w:kern w:val="24"/>
          <w:sz w:val="28"/>
          <w:szCs w:val="28"/>
        </w:rPr>
      </w:pPr>
      <w:r>
        <w:rPr>
          <w:color w:val="000000"/>
          <w:kern w:val="24"/>
          <w:sz w:val="28"/>
          <w:szCs w:val="28"/>
        </w:rPr>
        <w:t>Анкетирование проводил педагог-психолог Сафонова Н.Н., заведующий отделением Плетухина ТИ в рамках ежегодного мониторинга содержания, организации и качества образовательного процесса и практик</w:t>
      </w:r>
      <w:r w:rsidRPr="00EB7450">
        <w:rPr>
          <w:b/>
          <w:color w:val="000000"/>
          <w:kern w:val="24"/>
          <w:sz w:val="28"/>
          <w:szCs w:val="28"/>
        </w:rPr>
        <w:t xml:space="preserve"> </w:t>
      </w:r>
      <w:r w:rsidRPr="00EB7450">
        <w:rPr>
          <w:color w:val="000000"/>
          <w:kern w:val="24"/>
          <w:sz w:val="28"/>
          <w:szCs w:val="28"/>
        </w:rPr>
        <w:t>рамках реализации образовательной программы среднего профессионального образования</w:t>
      </w:r>
      <w:r>
        <w:rPr>
          <w:color w:val="000000"/>
          <w:kern w:val="24"/>
          <w:sz w:val="28"/>
          <w:szCs w:val="28"/>
        </w:rPr>
        <w:t xml:space="preserve"> 35.01.13 Тракторист- машинист сельскохозяйственного производства.</w:t>
      </w:r>
    </w:p>
    <w:p w:rsidR="00185B12" w:rsidRDefault="00185B12" w:rsidP="00185B12">
      <w:pPr>
        <w:contextualSpacing/>
        <w:jc w:val="both"/>
        <w:rPr>
          <w:color w:val="000000"/>
          <w:kern w:val="24"/>
          <w:sz w:val="28"/>
          <w:szCs w:val="28"/>
        </w:rPr>
      </w:pPr>
      <w:r>
        <w:rPr>
          <w:color w:val="000000"/>
          <w:kern w:val="24"/>
          <w:sz w:val="28"/>
          <w:szCs w:val="28"/>
        </w:rPr>
        <w:t>Сбор первичной информации осуществлялся методом анкетного опроса. Цель данного исследования- повышение качества образовательных услуг. Объектом исследования являлись студенты 1-3 курсов. Полный объем выборки составил 59человек.</w:t>
      </w:r>
    </w:p>
    <w:p w:rsidR="00185B12" w:rsidRPr="00EB7450" w:rsidRDefault="00185B12" w:rsidP="00185B12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</w:rPr>
      </w:pPr>
      <w:r w:rsidRPr="00EB7450">
        <w:rPr>
          <w:rFonts w:ascii="Times New Roman" w:hAnsi="Times New Roman"/>
          <w:sz w:val="28"/>
          <w:lang w:val="ru-RU"/>
        </w:rPr>
        <w:t>Общая характеристика опроса.</w:t>
      </w:r>
    </w:p>
    <w:p w:rsidR="00185B12" w:rsidRDefault="00185B12" w:rsidP="00185B12">
      <w:pPr>
        <w:ind w:left="360"/>
        <w:jc w:val="both"/>
        <w:rPr>
          <w:sz w:val="28"/>
        </w:rPr>
      </w:pPr>
      <w:r w:rsidRPr="00C37517">
        <w:rPr>
          <w:sz w:val="28"/>
        </w:rPr>
        <w:t>Опрос студентов проходил с 20 февраля 2023г по март 2023г методом анкетирования ( анонимно).</w:t>
      </w:r>
      <w:r>
        <w:rPr>
          <w:sz w:val="28"/>
        </w:rPr>
        <w:t>Анкета позволили оценить качество организации образовательного процесса.</w:t>
      </w:r>
    </w:p>
    <w:p w:rsidR="00185B12" w:rsidRDefault="00185B12" w:rsidP="00185B12">
      <w:pPr>
        <w:ind w:left="360"/>
        <w:jc w:val="both"/>
        <w:rPr>
          <w:sz w:val="28"/>
        </w:rPr>
      </w:pPr>
      <w:r>
        <w:rPr>
          <w:sz w:val="28"/>
        </w:rPr>
        <w:t>Распределение студентов представлено на диаграмме:</w:t>
      </w:r>
    </w:p>
    <w:p w:rsidR="00185B12" w:rsidRPr="00C37517" w:rsidRDefault="00185B12" w:rsidP="00185B12">
      <w:pPr>
        <w:ind w:left="360"/>
        <w:jc w:val="both"/>
        <w:rPr>
          <w:sz w:val="28"/>
        </w:rPr>
      </w:pPr>
      <w:r>
        <w:rPr>
          <w:noProof/>
          <w:sz w:val="28"/>
        </w:rPr>
        <w:drawing>
          <wp:inline distT="0" distB="0" distL="0" distR="0" wp14:anchorId="253AD5C1" wp14:editId="5D270C80">
            <wp:extent cx="2553005" cy="2157984"/>
            <wp:effectExtent l="0" t="0" r="19050" b="1397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185B12" w:rsidRPr="00C37517" w:rsidRDefault="00185B12" w:rsidP="00185B12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C37517">
        <w:rPr>
          <w:rFonts w:ascii="Times New Roman" w:hAnsi="Times New Roman"/>
          <w:sz w:val="28"/>
          <w:szCs w:val="28"/>
          <w:lang w:val="ru-RU"/>
        </w:rPr>
        <w:t>Качество проведения аудиторных занятий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185B12" w:rsidRDefault="00185B12" w:rsidP="00185B12">
      <w:pPr>
        <w:pStyle w:val="a3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60288" behindDoc="1" locked="0" layoutInCell="1" allowOverlap="1" wp14:anchorId="3D4106CA" wp14:editId="02AE4EA6">
            <wp:simplePos x="0" y="0"/>
            <wp:positionH relativeFrom="column">
              <wp:posOffset>3734435</wp:posOffset>
            </wp:positionH>
            <wp:positionV relativeFrom="paragraph">
              <wp:posOffset>468630</wp:posOffset>
            </wp:positionV>
            <wp:extent cx="2545080" cy="2084705"/>
            <wp:effectExtent l="0" t="0" r="26670" b="10795"/>
            <wp:wrapTight wrapText="bothSides">
              <wp:wrapPolygon edited="0">
                <wp:start x="0" y="0"/>
                <wp:lineTo x="0" y="21514"/>
                <wp:lineTo x="21665" y="21514"/>
                <wp:lineTo x="21665" y="0"/>
                <wp:lineTo x="0" y="0"/>
              </wp:wrapPolygon>
            </wp:wrapTight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sz w:val="28"/>
          <w:szCs w:val="28"/>
          <w:lang w:val="ru-RU"/>
        </w:rPr>
        <w:t>Для анализа качества аудиторных занятий респондентам предлагалось оценить отдельно качество проведения аудиторных и качество проведения учебной практики в помощью качественной шкалы с вариацией оценки от «очень высокое» до «низкое».</w:t>
      </w:r>
    </w:p>
    <w:p w:rsidR="00185B12" w:rsidRDefault="00185B12" w:rsidP="00185B12">
      <w:pPr>
        <w:pStyle w:val="a3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Проанализировав ответы анкетируемых, можно сделать вывод, что студенты, оценивают качество проведения </w:t>
      </w:r>
      <w:r>
        <w:rPr>
          <w:rFonts w:ascii="Times New Roman" w:hAnsi="Times New Roman"/>
          <w:sz w:val="28"/>
          <w:szCs w:val="28"/>
          <w:lang w:val="ru-RU"/>
        </w:rPr>
        <w:lastRenderedPageBreak/>
        <w:t>аудиторных занятий как «высокое» 51% от общего количества опрошенных.</w:t>
      </w:r>
    </w:p>
    <w:p w:rsidR="00185B12" w:rsidRDefault="00185B12" w:rsidP="00185B12">
      <w:pPr>
        <w:rPr>
          <w:b/>
          <w:i/>
          <w:sz w:val="28"/>
          <w:szCs w:val="28"/>
        </w:rPr>
      </w:pPr>
      <w:r>
        <w:rPr>
          <w:b/>
          <w:i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208E50A5" wp14:editId="0EB89D6A">
            <wp:simplePos x="0" y="0"/>
            <wp:positionH relativeFrom="column">
              <wp:posOffset>457200</wp:posOffset>
            </wp:positionH>
            <wp:positionV relativeFrom="paragraph">
              <wp:posOffset>144145</wp:posOffset>
            </wp:positionV>
            <wp:extent cx="2574925" cy="2377440"/>
            <wp:effectExtent l="0" t="0" r="15875" b="22860"/>
            <wp:wrapTight wrapText="bothSides">
              <wp:wrapPolygon edited="0">
                <wp:start x="0" y="0"/>
                <wp:lineTo x="0" y="21635"/>
                <wp:lineTo x="21573" y="21635"/>
                <wp:lineTo x="21573" y="0"/>
                <wp:lineTo x="0" y="0"/>
              </wp:wrapPolygon>
            </wp:wrapTight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i/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</w:t>
      </w:r>
      <w:r>
        <w:rPr>
          <w:b/>
          <w:i/>
          <w:sz w:val="28"/>
          <w:szCs w:val="28"/>
        </w:rPr>
        <w:t>Практические занятия</w:t>
      </w:r>
    </w:p>
    <w:p w:rsidR="00185B12" w:rsidRPr="008F5AA0" w:rsidRDefault="00185B12" w:rsidP="00185B12">
      <w:pPr>
        <w:rPr>
          <w:b/>
          <w:i/>
          <w:sz w:val="28"/>
          <w:szCs w:val="28"/>
        </w:rPr>
      </w:pPr>
    </w:p>
    <w:p w:rsidR="00185B12" w:rsidRDefault="00185B12" w:rsidP="00185B12">
      <w:pPr>
        <w:jc w:val="center"/>
        <w:rPr>
          <w:b/>
          <w:sz w:val="28"/>
          <w:szCs w:val="28"/>
        </w:rPr>
      </w:pPr>
    </w:p>
    <w:p w:rsidR="00185B12" w:rsidRPr="002608A0" w:rsidRDefault="00185B12" w:rsidP="00185B12">
      <w:pPr>
        <w:jc w:val="center"/>
        <w:rPr>
          <w:sz w:val="28"/>
          <w:szCs w:val="28"/>
        </w:rPr>
      </w:pPr>
      <w:r>
        <w:rPr>
          <w:sz w:val="28"/>
          <w:szCs w:val="28"/>
        </w:rPr>
        <w:t>Качество практических занятий оценивается большинством студентов как «среднее»- 64% от общего количества опрошенных.</w:t>
      </w:r>
    </w:p>
    <w:p w:rsidR="00185B12" w:rsidRDefault="00185B12" w:rsidP="00185B12">
      <w:pPr>
        <w:jc w:val="center"/>
        <w:rPr>
          <w:b/>
          <w:sz w:val="28"/>
          <w:szCs w:val="28"/>
        </w:rPr>
      </w:pPr>
    </w:p>
    <w:p w:rsidR="00185B12" w:rsidRDefault="00185B12" w:rsidP="00185B12">
      <w:pPr>
        <w:jc w:val="center"/>
        <w:rPr>
          <w:b/>
          <w:sz w:val="28"/>
          <w:szCs w:val="28"/>
        </w:rPr>
      </w:pPr>
    </w:p>
    <w:p w:rsidR="00185B12" w:rsidRDefault="00185B12" w:rsidP="00185B12">
      <w:pPr>
        <w:jc w:val="center"/>
        <w:rPr>
          <w:b/>
          <w:sz w:val="28"/>
          <w:szCs w:val="28"/>
        </w:rPr>
      </w:pPr>
    </w:p>
    <w:p w:rsidR="00185B12" w:rsidRDefault="00185B12" w:rsidP="00185B12">
      <w:pPr>
        <w:jc w:val="center"/>
        <w:rPr>
          <w:b/>
          <w:sz w:val="28"/>
          <w:szCs w:val="28"/>
        </w:rPr>
      </w:pPr>
    </w:p>
    <w:p w:rsidR="00185B12" w:rsidRDefault="00185B12" w:rsidP="00185B12">
      <w:pPr>
        <w:jc w:val="center"/>
        <w:rPr>
          <w:b/>
          <w:sz w:val="28"/>
          <w:szCs w:val="28"/>
        </w:rPr>
      </w:pPr>
    </w:p>
    <w:p w:rsidR="00185B12" w:rsidRDefault="00185B12" w:rsidP="00185B12">
      <w:pPr>
        <w:jc w:val="center"/>
        <w:rPr>
          <w:b/>
          <w:sz w:val="28"/>
          <w:szCs w:val="28"/>
        </w:rPr>
      </w:pPr>
    </w:p>
    <w:p w:rsidR="00185B12" w:rsidRPr="002608A0" w:rsidRDefault="00185B12" w:rsidP="00185B12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2608A0">
        <w:rPr>
          <w:rFonts w:ascii="Times New Roman" w:hAnsi="Times New Roman"/>
          <w:sz w:val="28"/>
          <w:szCs w:val="28"/>
          <w:lang w:val="ru-RU"/>
        </w:rPr>
        <w:t>Качество организации самостоятельной работы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185B12" w:rsidRPr="002608A0" w:rsidRDefault="00185B12" w:rsidP="00185B12">
      <w:pPr>
        <w:pStyle w:val="a3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Для анализа качества организации самостоятельной работы обучающимся – респондентам предлагалось :</w:t>
      </w:r>
    </w:p>
    <w:p w:rsidR="00185B12" w:rsidRDefault="00185B12" w:rsidP="00185B12">
      <w:pPr>
        <w:pStyle w:val="a3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-оценить обеспеченность учебного процесса методическими материалами, учебниками и учебными пособиями.</w:t>
      </w:r>
    </w:p>
    <w:p w:rsidR="00185B12" w:rsidRDefault="00185B12" w:rsidP="00185B12">
      <w:pPr>
        <w:pStyle w:val="a3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-оценить удовлетворенность работой методического кабинета в техникуме</w:t>
      </w:r>
    </w:p>
    <w:p w:rsidR="00185B12" w:rsidRDefault="00185B12" w:rsidP="00185B12">
      <w:pPr>
        <w:pStyle w:val="a3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-оценить регулярность посещения библиотеки</w:t>
      </w:r>
    </w:p>
    <w:p w:rsidR="00185B12" w:rsidRDefault="00185B12" w:rsidP="00185B12">
      <w:pPr>
        <w:pStyle w:val="a3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-дать обобщенную оценку организации самостоятельной работы</w:t>
      </w:r>
    </w:p>
    <w:p w:rsidR="00185B12" w:rsidRPr="0046376E" w:rsidRDefault="00185B12" w:rsidP="00185B12">
      <w:pPr>
        <w:pStyle w:val="a3"/>
        <w:rPr>
          <w:rFonts w:ascii="Times New Roman" w:hAnsi="Times New Roman"/>
          <w:b/>
          <w:i/>
          <w:sz w:val="28"/>
          <w:szCs w:val="28"/>
          <w:lang w:val="ru-RU"/>
        </w:rPr>
      </w:pPr>
      <w:r>
        <w:rPr>
          <w:b/>
          <w:i/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61312" behindDoc="1" locked="0" layoutInCell="1" allowOverlap="1" wp14:anchorId="520A3FC5" wp14:editId="6E3D3E22">
            <wp:simplePos x="0" y="0"/>
            <wp:positionH relativeFrom="column">
              <wp:posOffset>829945</wp:posOffset>
            </wp:positionH>
            <wp:positionV relativeFrom="paragraph">
              <wp:posOffset>523240</wp:posOffset>
            </wp:positionV>
            <wp:extent cx="2062480" cy="1908810"/>
            <wp:effectExtent l="0" t="0" r="13970" b="15240"/>
            <wp:wrapTight wrapText="bothSides">
              <wp:wrapPolygon edited="0">
                <wp:start x="0" y="0"/>
                <wp:lineTo x="0" y="21557"/>
                <wp:lineTo x="21547" y="21557"/>
                <wp:lineTo x="21547" y="0"/>
                <wp:lineTo x="0" y="0"/>
              </wp:wrapPolygon>
            </wp:wrapTight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b/>
          <w:i/>
          <w:sz w:val="28"/>
          <w:szCs w:val="28"/>
          <w:lang w:val="ru-RU"/>
        </w:rPr>
        <w:t>Обеспеченность учебного процесса методическими материалами</w:t>
      </w:r>
      <w:r w:rsidRPr="0046376E">
        <w:rPr>
          <w:b/>
          <w:i/>
          <w:sz w:val="28"/>
          <w:szCs w:val="28"/>
          <w:lang w:val="ru-RU"/>
        </w:rPr>
        <w:t xml:space="preserve">  Организация самостоятельной работы</w:t>
      </w:r>
    </w:p>
    <w:p w:rsidR="00185B12" w:rsidRPr="0046376E" w:rsidRDefault="00185B12" w:rsidP="00185B12">
      <w:pPr>
        <w:rPr>
          <w:b/>
          <w:i/>
          <w:sz w:val="28"/>
          <w:szCs w:val="28"/>
        </w:rPr>
      </w:pPr>
    </w:p>
    <w:p w:rsidR="00185B12" w:rsidRDefault="00185B12" w:rsidP="00185B12">
      <w:pPr>
        <w:jc w:val="center"/>
        <w:rPr>
          <w:b/>
          <w:sz w:val="28"/>
          <w:szCs w:val="28"/>
        </w:rPr>
      </w:pPr>
    </w:p>
    <w:p w:rsidR="00185B12" w:rsidRDefault="00185B12" w:rsidP="00185B12">
      <w:pPr>
        <w:jc w:val="center"/>
        <w:rPr>
          <w:b/>
          <w:sz w:val="28"/>
          <w:szCs w:val="28"/>
        </w:rPr>
      </w:pPr>
    </w:p>
    <w:p w:rsidR="00185B12" w:rsidRDefault="00185B12" w:rsidP="00185B12">
      <w:pPr>
        <w:jc w:val="center"/>
        <w:rPr>
          <w:b/>
          <w:sz w:val="28"/>
          <w:szCs w:val="28"/>
        </w:rPr>
      </w:pPr>
    </w:p>
    <w:p w:rsidR="00185B12" w:rsidRDefault="00185B12" w:rsidP="00185B12">
      <w:pPr>
        <w:jc w:val="center"/>
        <w:rPr>
          <w:b/>
          <w:sz w:val="28"/>
          <w:szCs w:val="28"/>
        </w:rPr>
      </w:pPr>
    </w:p>
    <w:p w:rsidR="00185B12" w:rsidRDefault="00185B12" w:rsidP="00185B12">
      <w:pPr>
        <w:jc w:val="center"/>
        <w:rPr>
          <w:b/>
          <w:sz w:val="28"/>
          <w:szCs w:val="28"/>
        </w:rPr>
      </w:pPr>
    </w:p>
    <w:p w:rsidR="00185B12" w:rsidRDefault="00185B12" w:rsidP="00185B12">
      <w:pPr>
        <w:jc w:val="center"/>
        <w:rPr>
          <w:b/>
          <w:sz w:val="28"/>
          <w:szCs w:val="28"/>
        </w:rPr>
      </w:pPr>
    </w:p>
    <w:p w:rsidR="00185B12" w:rsidRDefault="00185B12" w:rsidP="00185B12">
      <w:pPr>
        <w:jc w:val="center"/>
        <w:rPr>
          <w:b/>
          <w:sz w:val="28"/>
          <w:szCs w:val="28"/>
        </w:rPr>
      </w:pPr>
    </w:p>
    <w:p w:rsidR="00185B12" w:rsidRDefault="00185B12" w:rsidP="00185B12">
      <w:pPr>
        <w:jc w:val="center"/>
        <w:rPr>
          <w:b/>
          <w:sz w:val="28"/>
          <w:szCs w:val="28"/>
        </w:rPr>
      </w:pPr>
    </w:p>
    <w:p w:rsidR="00185B12" w:rsidRDefault="00185B12" w:rsidP="00185B12">
      <w:pPr>
        <w:jc w:val="center"/>
        <w:rPr>
          <w:b/>
          <w:sz w:val="28"/>
          <w:szCs w:val="28"/>
        </w:rPr>
      </w:pPr>
    </w:p>
    <w:p w:rsidR="00185B12" w:rsidRDefault="00185B12" w:rsidP="00185B12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Работа студентов в библиотеке.</w:t>
      </w:r>
    </w:p>
    <w:p w:rsidR="00185B12" w:rsidRPr="0046376E" w:rsidRDefault="00185B12" w:rsidP="00185B12">
      <w:pPr>
        <w:rPr>
          <w:b/>
          <w:i/>
          <w:sz w:val="28"/>
          <w:szCs w:val="28"/>
        </w:rPr>
      </w:pPr>
      <w:r>
        <w:rPr>
          <w:b/>
          <w:i/>
          <w:noProof/>
          <w:sz w:val="28"/>
          <w:szCs w:val="28"/>
        </w:rPr>
        <w:drawing>
          <wp:anchor distT="0" distB="0" distL="114300" distR="114300" simplePos="0" relativeHeight="251662336" behindDoc="1" locked="0" layoutInCell="1" allowOverlap="1" wp14:anchorId="374105CF" wp14:editId="5488B7D4">
            <wp:simplePos x="0" y="0"/>
            <wp:positionH relativeFrom="column">
              <wp:posOffset>603885</wp:posOffset>
            </wp:positionH>
            <wp:positionV relativeFrom="paragraph">
              <wp:posOffset>132715</wp:posOffset>
            </wp:positionV>
            <wp:extent cx="2596515" cy="2062480"/>
            <wp:effectExtent l="0" t="0" r="13335" b="13970"/>
            <wp:wrapTight wrapText="bothSides">
              <wp:wrapPolygon edited="0">
                <wp:start x="0" y="0"/>
                <wp:lineTo x="0" y="21547"/>
                <wp:lineTo x="21552" y="21547"/>
                <wp:lineTo x="21552" y="0"/>
                <wp:lineTo x="0" y="0"/>
              </wp:wrapPolygon>
            </wp:wrapTight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85B12" w:rsidRDefault="00185B12" w:rsidP="00185B12">
      <w:pPr>
        <w:jc w:val="center"/>
        <w:rPr>
          <w:b/>
          <w:sz w:val="28"/>
          <w:szCs w:val="28"/>
        </w:rPr>
      </w:pPr>
    </w:p>
    <w:p w:rsidR="00185B12" w:rsidRDefault="00185B12" w:rsidP="00185B12">
      <w:pPr>
        <w:jc w:val="center"/>
        <w:rPr>
          <w:b/>
          <w:sz w:val="28"/>
          <w:szCs w:val="28"/>
        </w:rPr>
      </w:pPr>
    </w:p>
    <w:p w:rsidR="00185B12" w:rsidRDefault="00185B12" w:rsidP="00185B12">
      <w:pPr>
        <w:jc w:val="center"/>
        <w:rPr>
          <w:b/>
          <w:sz w:val="28"/>
          <w:szCs w:val="28"/>
        </w:rPr>
      </w:pPr>
    </w:p>
    <w:p w:rsidR="00185B12" w:rsidRDefault="00185B12" w:rsidP="00185B12">
      <w:pPr>
        <w:jc w:val="center"/>
        <w:rPr>
          <w:b/>
          <w:sz w:val="28"/>
          <w:szCs w:val="28"/>
        </w:rPr>
      </w:pPr>
    </w:p>
    <w:p w:rsidR="00185B12" w:rsidRDefault="00185B12" w:rsidP="00185B12">
      <w:pPr>
        <w:jc w:val="center"/>
        <w:rPr>
          <w:b/>
          <w:sz w:val="28"/>
          <w:szCs w:val="28"/>
        </w:rPr>
      </w:pPr>
    </w:p>
    <w:p w:rsidR="00185B12" w:rsidRDefault="00185B12" w:rsidP="00185B12">
      <w:pPr>
        <w:jc w:val="center"/>
        <w:rPr>
          <w:b/>
          <w:sz w:val="28"/>
          <w:szCs w:val="28"/>
        </w:rPr>
      </w:pPr>
    </w:p>
    <w:p w:rsidR="00185B12" w:rsidRDefault="00185B12" w:rsidP="00185B12">
      <w:pPr>
        <w:jc w:val="center"/>
        <w:rPr>
          <w:b/>
          <w:sz w:val="28"/>
          <w:szCs w:val="28"/>
        </w:rPr>
      </w:pPr>
    </w:p>
    <w:p w:rsidR="00185B12" w:rsidRDefault="00185B12" w:rsidP="00185B12">
      <w:pPr>
        <w:jc w:val="center"/>
        <w:rPr>
          <w:b/>
          <w:sz w:val="28"/>
          <w:szCs w:val="28"/>
        </w:rPr>
      </w:pPr>
    </w:p>
    <w:p w:rsidR="00185B12" w:rsidRDefault="00185B12" w:rsidP="00185B12">
      <w:pPr>
        <w:jc w:val="center"/>
        <w:rPr>
          <w:b/>
          <w:sz w:val="28"/>
          <w:szCs w:val="28"/>
        </w:rPr>
      </w:pPr>
    </w:p>
    <w:p w:rsidR="00185B12" w:rsidRDefault="00185B12" w:rsidP="00185B12">
      <w:pPr>
        <w:jc w:val="center"/>
        <w:rPr>
          <w:b/>
          <w:sz w:val="28"/>
          <w:szCs w:val="28"/>
        </w:rPr>
      </w:pPr>
    </w:p>
    <w:p w:rsidR="00185B12" w:rsidRDefault="00185B12" w:rsidP="00185B12">
      <w:pPr>
        <w:jc w:val="center"/>
        <w:rPr>
          <w:b/>
          <w:sz w:val="28"/>
          <w:szCs w:val="28"/>
        </w:rPr>
      </w:pPr>
    </w:p>
    <w:p w:rsidR="00185B12" w:rsidRPr="009641B6" w:rsidRDefault="00185B12" w:rsidP="00185B12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9641B6">
        <w:rPr>
          <w:rFonts w:ascii="Times New Roman" w:hAnsi="Times New Roman"/>
          <w:sz w:val="28"/>
          <w:szCs w:val="28"/>
        </w:rPr>
        <w:t>Контроль знаний студентов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185B12" w:rsidRDefault="00185B12" w:rsidP="00185B12">
      <w:pPr>
        <w:pStyle w:val="a3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Основной задачей анализа является выявление наиболее используемых в филиале форм контроля знаний. Для этого респондентам предлагалось отметить формы контроля знаний, которые чаще всего используют преподаватели.  В перечень предлагаемых форм вошли:</w:t>
      </w:r>
    </w:p>
    <w:p w:rsidR="00185B12" w:rsidRDefault="00185B12" w:rsidP="00185B12">
      <w:pPr>
        <w:pStyle w:val="a3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-опрос</w:t>
      </w:r>
    </w:p>
    <w:p w:rsidR="00185B12" w:rsidRDefault="00185B12" w:rsidP="00185B12">
      <w:pPr>
        <w:pStyle w:val="a3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-контрольная работа</w:t>
      </w:r>
    </w:p>
    <w:p w:rsidR="00185B12" w:rsidRDefault="00185B12" w:rsidP="00185B12">
      <w:pPr>
        <w:pStyle w:val="a3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-зачет, ДЗ, экзамен</w:t>
      </w:r>
    </w:p>
    <w:p w:rsidR="00185B12" w:rsidRDefault="00185B12" w:rsidP="00185B12">
      <w:pPr>
        <w:pStyle w:val="a3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-тестирование</w:t>
      </w:r>
    </w:p>
    <w:p w:rsidR="00185B12" w:rsidRDefault="00185B12" w:rsidP="00185B12">
      <w:pPr>
        <w:pStyle w:val="a3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самостоятельная работа</w:t>
      </w:r>
    </w:p>
    <w:p w:rsidR="00185B12" w:rsidRDefault="00185B12" w:rsidP="00185B12">
      <w:pPr>
        <w:pStyle w:val="a3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Из диаграммы видно, что наиболее используемой формой контроля, кроме З, ДЗ, Экзамена является  текущий контроль знаний.</w:t>
      </w:r>
    </w:p>
    <w:p w:rsidR="00185B12" w:rsidRPr="009641B6" w:rsidRDefault="00185B12" w:rsidP="00185B12">
      <w:pPr>
        <w:pStyle w:val="a3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noProof/>
          <w:sz w:val="28"/>
          <w:szCs w:val="28"/>
          <w:lang w:val="ru-RU" w:eastAsia="ru-RU"/>
        </w:rPr>
        <w:drawing>
          <wp:inline distT="0" distB="0" distL="0" distR="0" wp14:anchorId="3B765E58" wp14:editId="470E1AC1">
            <wp:extent cx="3035808" cy="1931212"/>
            <wp:effectExtent l="0" t="0" r="12700" b="12065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185B12" w:rsidRDefault="00185B12" w:rsidP="00185B12">
      <w:pPr>
        <w:rPr>
          <w:b/>
          <w:i/>
          <w:sz w:val="28"/>
          <w:szCs w:val="28"/>
        </w:rPr>
      </w:pPr>
      <w:r>
        <w:rPr>
          <w:b/>
          <w:sz w:val="28"/>
          <w:szCs w:val="28"/>
        </w:rPr>
        <w:t>5.</w:t>
      </w:r>
      <w:r>
        <w:rPr>
          <w:b/>
          <w:i/>
          <w:sz w:val="28"/>
          <w:szCs w:val="28"/>
        </w:rPr>
        <w:t>Уровень справедливости оценки знаний</w:t>
      </w:r>
    </w:p>
    <w:p w:rsidR="00185B12" w:rsidRDefault="00185B12" w:rsidP="00185B12">
      <w:pPr>
        <w:rPr>
          <w:sz w:val="28"/>
          <w:szCs w:val="28"/>
        </w:rPr>
      </w:pPr>
      <w:r>
        <w:rPr>
          <w:sz w:val="28"/>
          <w:szCs w:val="28"/>
        </w:rPr>
        <w:t>Для определения уровня справедливости системы оценки знаний студентов, респондентам предлагалось дать оценку с использованием десятибальной качественной шкалы ( 1 б- низкая оценка, 10-б- очень высокая оценка)</w:t>
      </w:r>
    </w:p>
    <w:p w:rsidR="00185B12" w:rsidRDefault="00185B12" w:rsidP="00185B12">
      <w:pPr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 wp14:anchorId="5AF95002" wp14:editId="297F433B">
            <wp:extent cx="4133088" cy="2604212"/>
            <wp:effectExtent l="0" t="0" r="20320" b="24765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185B12" w:rsidRPr="006511C1" w:rsidRDefault="00185B12" w:rsidP="00185B12">
      <w:pPr>
        <w:pStyle w:val="a3"/>
        <w:numPr>
          <w:ilvl w:val="0"/>
          <w:numId w:val="1"/>
        </w:numPr>
        <w:rPr>
          <w:rFonts w:ascii="Times New Roman" w:hAnsi="Times New Roman"/>
          <w:b/>
          <w:sz w:val="28"/>
          <w:szCs w:val="28"/>
        </w:rPr>
      </w:pPr>
      <w:r w:rsidRPr="006511C1">
        <w:rPr>
          <w:rFonts w:ascii="Times New Roman" w:hAnsi="Times New Roman"/>
          <w:b/>
          <w:sz w:val="28"/>
          <w:szCs w:val="28"/>
          <w:lang w:val="ru-RU"/>
        </w:rPr>
        <w:t>Компьютерная обеспеченность образовательного процесса.</w:t>
      </w:r>
    </w:p>
    <w:p w:rsidR="00185B12" w:rsidRDefault="00185B12" w:rsidP="00185B12">
      <w:pPr>
        <w:pStyle w:val="a3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Для обеспечения учебного процесса компьютерной техникой респондентам предлагалось указать на ее достаточное/не достаточное количество в соответствии с потребностями студентов в ходе обучения. Как видно из диаграммы, 80% студентов считают компьютерное обеспечение достаточным.</w:t>
      </w:r>
    </w:p>
    <w:p w:rsidR="00185B12" w:rsidRDefault="00185B12" w:rsidP="00185B12">
      <w:pPr>
        <w:pStyle w:val="a3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noProof/>
          <w:sz w:val="28"/>
          <w:szCs w:val="28"/>
          <w:lang w:val="ru-RU" w:eastAsia="ru-RU"/>
        </w:rPr>
        <w:drawing>
          <wp:inline distT="0" distB="0" distL="0" distR="0" wp14:anchorId="42F25F70" wp14:editId="6744206E">
            <wp:extent cx="2143354" cy="1843430"/>
            <wp:effectExtent l="0" t="0" r="9525" b="23495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185B12" w:rsidRDefault="00185B12" w:rsidP="00185B12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  <w:lang w:val="ru-RU"/>
        </w:rPr>
      </w:pPr>
      <w:r w:rsidRPr="0059496F">
        <w:rPr>
          <w:rFonts w:ascii="Times New Roman" w:hAnsi="Times New Roman"/>
          <w:b/>
          <w:sz w:val="28"/>
          <w:szCs w:val="28"/>
          <w:lang w:val="ru-RU"/>
        </w:rPr>
        <w:t>Представление студентов о критериях качества результатов образования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185B12" w:rsidRDefault="00185B12" w:rsidP="00185B12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59496F">
        <w:rPr>
          <w:rFonts w:ascii="Times New Roman" w:hAnsi="Times New Roman"/>
          <w:sz w:val="28"/>
          <w:szCs w:val="28"/>
          <w:lang w:val="ru-RU"/>
        </w:rPr>
        <w:t>Для оценки мнения студентов</w:t>
      </w:r>
      <w:r>
        <w:rPr>
          <w:rFonts w:ascii="Times New Roman" w:hAnsi="Times New Roman"/>
          <w:sz w:val="28"/>
          <w:szCs w:val="28"/>
          <w:lang w:val="ru-RU"/>
        </w:rPr>
        <w:t xml:space="preserve"> о критериях качества результатов образования респондентам предлагалось выделить наиболее значимые по предлагаемому перечню:</w:t>
      </w:r>
    </w:p>
    <w:p w:rsidR="00185B12" w:rsidRDefault="00185B12" w:rsidP="00185B12">
      <w:pPr>
        <w:pStyle w:val="a3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-высокий уровень профподготовки</w:t>
      </w:r>
    </w:p>
    <w:p w:rsidR="00185B12" w:rsidRDefault="00185B12" w:rsidP="00185B12">
      <w:pPr>
        <w:pStyle w:val="a3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-широкие перспективы трудоустройства</w:t>
      </w:r>
    </w:p>
    <w:p w:rsidR="00185B12" w:rsidRDefault="00185B12" w:rsidP="00185B12">
      <w:pPr>
        <w:pStyle w:val="a3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-получение престижной профессии</w:t>
      </w:r>
    </w:p>
    <w:p w:rsidR="00185B12" w:rsidRDefault="00185B12" w:rsidP="00185B12">
      <w:pPr>
        <w:pStyle w:val="a3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-способность адаптироваться к меняющимся рыночным условиям</w:t>
      </w:r>
    </w:p>
    <w:p w:rsidR="00185B12" w:rsidRDefault="00185B12" w:rsidP="00185B12">
      <w:pPr>
        <w:pStyle w:val="a3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-высокий уровень общекультурной подготовки.</w:t>
      </w:r>
    </w:p>
    <w:p w:rsidR="00185B12" w:rsidRDefault="00185B12" w:rsidP="00185B12">
      <w:pPr>
        <w:pStyle w:val="a3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Распределение критериев качества результатов образования студентов по степени важности представлены на диаграмме:</w:t>
      </w:r>
    </w:p>
    <w:p w:rsidR="00185B12" w:rsidRPr="0059496F" w:rsidRDefault="00185B12" w:rsidP="00185B12">
      <w:pPr>
        <w:pStyle w:val="a3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noProof/>
          <w:sz w:val="28"/>
          <w:szCs w:val="28"/>
          <w:lang w:val="ru-RU" w:eastAsia="ru-RU"/>
        </w:rPr>
        <w:lastRenderedPageBreak/>
        <w:drawing>
          <wp:inline distT="0" distB="0" distL="0" distR="0" wp14:anchorId="10D83EEA" wp14:editId="52F244B7">
            <wp:extent cx="5486400" cy="3200400"/>
            <wp:effectExtent l="0" t="0" r="19050" b="1905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185B12" w:rsidRPr="00511C92" w:rsidRDefault="00185B12" w:rsidP="00185B12">
      <w:pPr>
        <w:jc w:val="center"/>
      </w:pPr>
      <w:r w:rsidRPr="00511C92">
        <w:t>Наиболее важными критериями оценки результатов образования студенты считают высокий уровень профподготовки (55%), широкие перспективы трудоустройства (44%). Менее всего респонденты ждут от обучения в филиале получение общекультурной подготовки высокого уровня. (10%).</w:t>
      </w:r>
    </w:p>
    <w:p w:rsidR="0011207E" w:rsidRDefault="0011207E"/>
    <w:sectPr w:rsidR="001120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BA56D0"/>
    <w:multiLevelType w:val="hybridMultilevel"/>
    <w:tmpl w:val="9DD8DFFE"/>
    <w:lvl w:ilvl="0" w:tplc="25101EF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B12"/>
    <w:rsid w:val="0011207E"/>
    <w:rsid w:val="00185B12"/>
    <w:rsid w:val="00907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B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5B1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185B1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5B1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B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5B1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185B1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5B1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openxmlformats.org/officeDocument/2006/relationships/chart" Target="charts/chart8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12" Type="http://schemas.openxmlformats.org/officeDocument/2006/relationships/chart" Target="charts/chart7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11" Type="http://schemas.openxmlformats.org/officeDocument/2006/relationships/chart" Target="charts/chart6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chart" Target="charts/chart5.xml"/><Relationship Id="rId4" Type="http://schemas.openxmlformats.org/officeDocument/2006/relationships/settings" Target="settings.xml"/><Relationship Id="rId9" Type="http://schemas.openxmlformats.org/officeDocument/2006/relationships/chart" Target="charts/chart4.xml"/><Relationship Id="rId14" Type="http://schemas.openxmlformats.org/officeDocument/2006/relationships/chart" Target="charts/chart9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3.xlsx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4.xlsx"/><Relationship Id="rId1" Type="http://schemas.openxmlformats.org/officeDocument/2006/relationships/themeOverride" Target="../theme/themeOverride4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5.xlsx"/><Relationship Id="rId1" Type="http://schemas.openxmlformats.org/officeDocument/2006/relationships/themeOverride" Target="../theme/themeOverride5.xml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6.xlsx"/><Relationship Id="rId1" Type="http://schemas.openxmlformats.org/officeDocument/2006/relationships/themeOverride" Target="../theme/themeOverride6.xml"/></Relationships>
</file>

<file path=word/charts/_rels/chart7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7.xlsx"/><Relationship Id="rId1" Type="http://schemas.openxmlformats.org/officeDocument/2006/relationships/themeOverride" Target="../theme/themeOverride7.xml"/></Relationships>
</file>

<file path=word/charts/_rels/chart8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8.xlsx"/><Relationship Id="rId1" Type="http://schemas.openxmlformats.org/officeDocument/2006/relationships/themeOverride" Target="../theme/themeOverride8.xml"/></Relationships>
</file>

<file path=word/charts/_rels/chart9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9.xlsx"/><Relationship Id="rId1" Type="http://schemas.openxmlformats.org/officeDocument/2006/relationships/themeOverride" Target="../theme/themeOverrid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ТМ-59ч</c:v>
                </c:pt>
              </c:strCache>
            </c:strRef>
          </c:tx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Лист1!$A$2:$A$5</c:f>
              <c:strCache>
                <c:ptCount val="3"/>
                <c:pt idx="0">
                  <c:v>1 курс</c:v>
                </c:pt>
                <c:pt idx="1">
                  <c:v>2 курс</c:v>
                </c:pt>
                <c:pt idx="2">
                  <c:v>3 курс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23</c:v>
                </c:pt>
                <c:pt idx="1">
                  <c:v>19</c:v>
                </c:pt>
                <c:pt idx="2">
                  <c:v>17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/>
              <a:t>аудиторные</a:t>
            </a:r>
            <a:r>
              <a:rPr lang="ru-RU" baseline="0"/>
              <a:t> занятия</a:t>
            </a:r>
            <a:endParaRPr lang="ru-RU"/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показатели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очень высокое</c:v>
                </c:pt>
                <c:pt idx="1">
                  <c:v>высокое</c:v>
                </c:pt>
                <c:pt idx="2">
                  <c:v>среднее</c:v>
                </c:pt>
                <c:pt idx="3">
                  <c:v>ниже среднего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0.11</c:v>
                </c:pt>
                <c:pt idx="1">
                  <c:v>0.51</c:v>
                </c:pt>
                <c:pt idx="2">
                  <c:v>0.42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очень высокое</c:v>
                </c:pt>
                <c:pt idx="1">
                  <c:v>высокое</c:v>
                </c:pt>
                <c:pt idx="2">
                  <c:v>среднее</c:v>
                </c:pt>
                <c:pt idx="3">
                  <c:v>ниже среднего</c:v>
                </c:pt>
              </c:strCache>
            </c:strRef>
          </c:cat>
          <c:val>
            <c:numRef>
              <c:f>Лист1!$C$2:$C$5</c:f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очень высокое</c:v>
                </c:pt>
                <c:pt idx="1">
                  <c:v>высокое</c:v>
                </c:pt>
                <c:pt idx="2">
                  <c:v>среднее</c:v>
                </c:pt>
                <c:pt idx="3">
                  <c:v>ниже среднего</c:v>
                </c:pt>
              </c:strCache>
            </c:strRef>
          </c:cat>
          <c:val>
            <c:numRef>
              <c:f>Лист1!$D$2:$D$5</c:f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12110080"/>
        <c:axId val="75512000"/>
      </c:barChart>
      <c:catAx>
        <c:axId val="112110080"/>
        <c:scaling>
          <c:orientation val="minMax"/>
        </c:scaling>
        <c:delete val="0"/>
        <c:axPos val="b"/>
        <c:majorTickMark val="out"/>
        <c:minorTickMark val="none"/>
        <c:tickLblPos val="nextTo"/>
        <c:crossAx val="75512000"/>
        <c:crosses val="autoZero"/>
        <c:auto val="1"/>
        <c:lblAlgn val="ctr"/>
        <c:lblOffset val="100"/>
        <c:noMultiLvlLbl val="0"/>
      </c:catAx>
      <c:valAx>
        <c:axId val="75512000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11211008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overlay val="0"/>
    </c:title>
    <c:autoTitleDeleted val="0"/>
    <c:plotArea>
      <c:layout>
        <c:manualLayout>
          <c:layoutTarget val="inner"/>
          <c:xMode val="edge"/>
          <c:yMode val="edge"/>
          <c:x val="0.19924172337465651"/>
          <c:y val="0.17981357446711013"/>
          <c:w val="0.51103013233006445"/>
          <c:h val="0.47243216203212229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учебная практика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Лист1!$A$2:$A$6</c:f>
              <c:strCache>
                <c:ptCount val="5"/>
                <c:pt idx="0">
                  <c:v>очень высокое</c:v>
                </c:pt>
                <c:pt idx="1">
                  <c:v>высокое</c:v>
                </c:pt>
                <c:pt idx="2">
                  <c:v>среднее</c:v>
                </c:pt>
                <c:pt idx="3">
                  <c:v>ниже среднего</c:v>
                </c:pt>
                <c:pt idx="4">
                  <c:v>низкое</c:v>
                </c:pt>
              </c:strCache>
            </c:strRef>
          </c:cat>
          <c:val>
            <c:numRef>
              <c:f>Лист1!$B$2:$B$6</c:f>
              <c:numCache>
                <c:formatCode>0%</c:formatCode>
                <c:ptCount val="5"/>
                <c:pt idx="0">
                  <c:v>0.01</c:v>
                </c:pt>
                <c:pt idx="1">
                  <c:v>0.34</c:v>
                </c:pt>
                <c:pt idx="2">
                  <c:v>0.64</c:v>
                </c:pt>
                <c:pt idx="3">
                  <c:v>0</c:v>
                </c:pt>
                <c:pt idx="4">
                  <c:v>0.01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очень высокое</c:v>
                </c:pt>
                <c:pt idx="1">
                  <c:v>высокое</c:v>
                </c:pt>
                <c:pt idx="2">
                  <c:v>среднее</c:v>
                </c:pt>
                <c:pt idx="3">
                  <c:v>ниже среднего</c:v>
                </c:pt>
                <c:pt idx="4">
                  <c:v>низкое</c:v>
                </c:pt>
              </c:strCache>
            </c:strRef>
          </c:cat>
          <c:val>
            <c:numRef>
              <c:f>Лист1!$C$2:$C$6</c:f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очень высокое</c:v>
                </c:pt>
                <c:pt idx="1">
                  <c:v>высокое</c:v>
                </c:pt>
                <c:pt idx="2">
                  <c:v>среднее</c:v>
                </c:pt>
                <c:pt idx="3">
                  <c:v>ниже среднего</c:v>
                </c:pt>
                <c:pt idx="4">
                  <c:v>низкое</c:v>
                </c:pt>
              </c:strCache>
            </c:strRef>
          </c:cat>
          <c:val>
            <c:numRef>
              <c:f>Лист1!$D$2:$D$6</c:f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17519360"/>
        <c:axId val="75510848"/>
      </c:barChart>
      <c:catAx>
        <c:axId val="117519360"/>
        <c:scaling>
          <c:orientation val="minMax"/>
        </c:scaling>
        <c:delete val="0"/>
        <c:axPos val="b"/>
        <c:majorTickMark val="out"/>
        <c:minorTickMark val="none"/>
        <c:tickLblPos val="nextTo"/>
        <c:crossAx val="75510848"/>
        <c:crosses val="autoZero"/>
        <c:auto val="1"/>
        <c:lblAlgn val="ctr"/>
        <c:lblOffset val="100"/>
        <c:noMultiLvlLbl val="0"/>
      </c:catAx>
      <c:valAx>
        <c:axId val="75510848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11751936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СР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очень высокое</c:v>
                </c:pt>
                <c:pt idx="1">
                  <c:v>высокое</c:v>
                </c:pt>
                <c:pt idx="2">
                  <c:v>среднее</c:v>
                </c:pt>
                <c:pt idx="3">
                  <c:v>низкое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</c:v>
                </c:pt>
                <c:pt idx="1">
                  <c:v>51</c:v>
                </c:pt>
                <c:pt idx="2">
                  <c:v>42</c:v>
                </c:pt>
                <c:pt idx="3">
                  <c:v>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очень высокое</c:v>
                </c:pt>
                <c:pt idx="1">
                  <c:v>высокое</c:v>
                </c:pt>
                <c:pt idx="2">
                  <c:v>среднее</c:v>
                </c:pt>
                <c:pt idx="3">
                  <c:v>низкое</c:v>
                </c:pt>
              </c:strCache>
            </c:strRef>
          </c:cat>
          <c:val>
            <c:numRef>
              <c:f>Лист1!$C$2:$C$5</c:f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очень высокое</c:v>
                </c:pt>
                <c:pt idx="1">
                  <c:v>высокое</c:v>
                </c:pt>
                <c:pt idx="2">
                  <c:v>среднее</c:v>
                </c:pt>
                <c:pt idx="3">
                  <c:v>низкое</c:v>
                </c:pt>
              </c:strCache>
            </c:strRef>
          </c:cat>
          <c:val>
            <c:numRef>
              <c:f>Лист1!$D$2:$D$5</c:f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17521408"/>
        <c:axId val="75513152"/>
      </c:barChart>
      <c:catAx>
        <c:axId val="117521408"/>
        <c:scaling>
          <c:orientation val="minMax"/>
        </c:scaling>
        <c:delete val="0"/>
        <c:axPos val="b"/>
        <c:majorTickMark val="out"/>
        <c:minorTickMark val="none"/>
        <c:tickLblPos val="nextTo"/>
        <c:crossAx val="75513152"/>
        <c:crosses val="autoZero"/>
        <c:auto val="1"/>
        <c:lblAlgn val="ctr"/>
        <c:lblOffset val="100"/>
        <c:noMultiLvlLbl val="0"/>
      </c:catAx>
      <c:valAx>
        <c:axId val="7551315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1752140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библиотека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Лист1!$A$2:$A$6</c:f>
              <c:strCache>
                <c:ptCount val="5"/>
                <c:pt idx="0">
                  <c:v>1-2 раза в неделю</c:v>
                </c:pt>
                <c:pt idx="1">
                  <c:v>1-2 раза в месяц</c:v>
                </c:pt>
                <c:pt idx="2">
                  <c:v>1-2 раза в семестр</c:v>
                </c:pt>
                <c:pt idx="3">
                  <c:v>1-2 раза в год</c:v>
                </c:pt>
                <c:pt idx="4">
                  <c:v>не посещают</c:v>
                </c:pt>
              </c:strCache>
            </c:strRef>
          </c:cat>
          <c:val>
            <c:numRef>
              <c:f>Лист1!$B$2:$B$6</c:f>
              <c:numCache>
                <c:formatCode>0%</c:formatCode>
                <c:ptCount val="5"/>
                <c:pt idx="0">
                  <c:v>0.08</c:v>
                </c:pt>
                <c:pt idx="1">
                  <c:v>0.23</c:v>
                </c:pt>
                <c:pt idx="2">
                  <c:v>0.31</c:v>
                </c:pt>
                <c:pt idx="3">
                  <c:v>0.34</c:v>
                </c:pt>
                <c:pt idx="4">
                  <c:v>0.13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1-2 раза в неделю</c:v>
                </c:pt>
                <c:pt idx="1">
                  <c:v>1-2 раза в месяц</c:v>
                </c:pt>
                <c:pt idx="2">
                  <c:v>1-2 раза в семестр</c:v>
                </c:pt>
                <c:pt idx="3">
                  <c:v>1-2 раза в год</c:v>
                </c:pt>
                <c:pt idx="4">
                  <c:v>не посещают</c:v>
                </c:pt>
              </c:strCache>
            </c:strRef>
          </c:cat>
          <c:val>
            <c:numRef>
              <c:f>Лист1!$C$2:$C$6</c:f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1-2 раза в неделю</c:v>
                </c:pt>
                <c:pt idx="1">
                  <c:v>1-2 раза в месяц</c:v>
                </c:pt>
                <c:pt idx="2">
                  <c:v>1-2 раза в семестр</c:v>
                </c:pt>
                <c:pt idx="3">
                  <c:v>1-2 раза в год</c:v>
                </c:pt>
                <c:pt idx="4">
                  <c:v>не посещают</c:v>
                </c:pt>
              </c:strCache>
            </c:strRef>
          </c:cat>
          <c:val>
            <c:numRef>
              <c:f>Лист1!$D$2:$D$6</c:f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35738368"/>
        <c:axId val="117853568"/>
      </c:barChart>
      <c:catAx>
        <c:axId val="135738368"/>
        <c:scaling>
          <c:orientation val="minMax"/>
        </c:scaling>
        <c:delete val="0"/>
        <c:axPos val="b"/>
        <c:majorTickMark val="out"/>
        <c:minorTickMark val="none"/>
        <c:tickLblPos val="nextTo"/>
        <c:crossAx val="117853568"/>
        <c:crosses val="autoZero"/>
        <c:auto val="1"/>
        <c:lblAlgn val="ctr"/>
        <c:lblOffset val="100"/>
        <c:noMultiLvlLbl val="0"/>
      </c:catAx>
      <c:valAx>
        <c:axId val="117853568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13573836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виды контроля</c:v>
                </c:pt>
              </c:strCache>
            </c:strRef>
          </c:tx>
          <c:explosion val="25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Лист1!$A$2:$A$6</c:f>
              <c:strCache>
                <c:ptCount val="5"/>
                <c:pt idx="0">
                  <c:v>опрос</c:v>
                </c:pt>
                <c:pt idx="1">
                  <c:v>контрольная р</c:v>
                </c:pt>
                <c:pt idx="2">
                  <c:v>экзамен</c:v>
                </c:pt>
                <c:pt idx="3">
                  <c:v>тест</c:v>
                </c:pt>
                <c:pt idx="4">
                  <c:v>отчет по СР</c:v>
                </c:pt>
              </c:strCache>
            </c:strRef>
          </c:cat>
          <c:val>
            <c:numRef>
              <c:f>Лист1!$B$2:$B$6</c:f>
              <c:numCache>
                <c:formatCode>0%</c:formatCode>
                <c:ptCount val="5"/>
                <c:pt idx="0">
                  <c:v>0.44</c:v>
                </c:pt>
                <c:pt idx="1">
                  <c:v>0.31</c:v>
                </c:pt>
                <c:pt idx="2">
                  <c:v>0.44</c:v>
                </c:pt>
                <c:pt idx="3">
                  <c:v>0.08</c:v>
                </c:pt>
                <c:pt idx="4">
                  <c:v>7.0000000000000007E-2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%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Лист1!$A$2:$A$8</c:f>
              <c:strCache>
                <c:ptCount val="7"/>
                <c:pt idx="0">
                  <c:v>4 балла</c:v>
                </c:pt>
                <c:pt idx="1">
                  <c:v>5баллов</c:v>
                </c:pt>
                <c:pt idx="2">
                  <c:v>6 баллов</c:v>
                </c:pt>
                <c:pt idx="3">
                  <c:v>7 баллов</c:v>
                </c:pt>
                <c:pt idx="4">
                  <c:v>8баллов</c:v>
                </c:pt>
                <c:pt idx="5">
                  <c:v>9 баллов</c:v>
                </c:pt>
                <c:pt idx="6">
                  <c:v>10 баллов</c:v>
                </c:pt>
              </c:strCache>
            </c:strRef>
          </c:cat>
          <c:val>
            <c:numRef>
              <c:f>Лист1!$B$2:$B$8</c:f>
              <c:numCache>
                <c:formatCode>0%</c:formatCode>
                <c:ptCount val="7"/>
                <c:pt idx="0">
                  <c:v>0.04</c:v>
                </c:pt>
                <c:pt idx="1">
                  <c:v>0.08</c:v>
                </c:pt>
                <c:pt idx="2">
                  <c:v>0.08</c:v>
                </c:pt>
                <c:pt idx="3">
                  <c:v>0.21</c:v>
                </c:pt>
                <c:pt idx="4">
                  <c:v>0.08</c:v>
                </c:pt>
                <c:pt idx="5">
                  <c:v>0.34</c:v>
                </c:pt>
                <c:pt idx="6">
                  <c:v>0.17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35740928"/>
        <c:axId val="117854144"/>
      </c:barChart>
      <c:catAx>
        <c:axId val="135740928"/>
        <c:scaling>
          <c:orientation val="minMax"/>
        </c:scaling>
        <c:delete val="0"/>
        <c:axPos val="b"/>
        <c:majorTickMark val="out"/>
        <c:minorTickMark val="none"/>
        <c:tickLblPos val="nextTo"/>
        <c:crossAx val="117854144"/>
        <c:crosses val="autoZero"/>
        <c:auto val="1"/>
        <c:lblAlgn val="ctr"/>
        <c:lblOffset val="100"/>
        <c:noMultiLvlLbl val="0"/>
      </c:catAx>
      <c:valAx>
        <c:axId val="117854144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13574092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%</c:v>
                </c:pt>
              </c:strCache>
            </c:strRef>
          </c:tx>
          <c:explosion val="25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Лист1!$A$2:$A$3</c:f>
              <c:strCache>
                <c:ptCount val="2"/>
                <c:pt idx="0">
                  <c:v>достаточно</c:v>
                </c:pt>
                <c:pt idx="1">
                  <c:v>не достаточно 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0.8</c:v>
                </c:pt>
                <c:pt idx="1">
                  <c:v>0.2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%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Лист1!$A$2:$A$6</c:f>
              <c:strCache>
                <c:ptCount val="5"/>
                <c:pt idx="0">
                  <c:v>высокий уровень общекультурной подготовки</c:v>
                </c:pt>
                <c:pt idx="1">
                  <c:v>способность адаптации к рынку труда</c:v>
                </c:pt>
                <c:pt idx="2">
                  <c:v>престижная профессия</c:v>
                </c:pt>
                <c:pt idx="3">
                  <c:v>широкие перспективы трудоустройства</c:v>
                </c:pt>
                <c:pt idx="4">
                  <c:v>высокий уровень профподготовки </c:v>
                </c:pt>
              </c:strCache>
            </c:strRef>
          </c:cat>
          <c:val>
            <c:numRef>
              <c:f>Лист1!$B$2:$B$6</c:f>
              <c:numCache>
                <c:formatCode>0%</c:formatCode>
                <c:ptCount val="5"/>
                <c:pt idx="0">
                  <c:v>0.1</c:v>
                </c:pt>
                <c:pt idx="1">
                  <c:v>0.2</c:v>
                </c:pt>
                <c:pt idx="2">
                  <c:v>0.34</c:v>
                </c:pt>
                <c:pt idx="3">
                  <c:v>0.42</c:v>
                </c:pt>
                <c:pt idx="4">
                  <c:v>0.55000000000000004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высокий уровень общекультурной подготовки</c:v>
                </c:pt>
                <c:pt idx="1">
                  <c:v>способность адаптации к рынку труда</c:v>
                </c:pt>
                <c:pt idx="2">
                  <c:v>престижная профессия</c:v>
                </c:pt>
                <c:pt idx="3">
                  <c:v>широкие перспективы трудоустройства</c:v>
                </c:pt>
                <c:pt idx="4">
                  <c:v>высокий уровень профподготовки 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высокий уровень общекультурной подготовки</c:v>
                </c:pt>
                <c:pt idx="1">
                  <c:v>способность адаптации к рынку труда</c:v>
                </c:pt>
                <c:pt idx="2">
                  <c:v>престижная профессия</c:v>
                </c:pt>
                <c:pt idx="3">
                  <c:v>широкие перспективы трудоустройства</c:v>
                </c:pt>
                <c:pt idx="4">
                  <c:v>высокий уровень профподготовки </c:v>
                </c:pt>
              </c:strCache>
            </c:strRef>
          </c:cat>
          <c:val>
            <c:numRef>
              <c:f>Лист1!$D$2:$D$6</c:f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36120320"/>
        <c:axId val="117854720"/>
      </c:barChart>
      <c:catAx>
        <c:axId val="136120320"/>
        <c:scaling>
          <c:orientation val="minMax"/>
        </c:scaling>
        <c:delete val="0"/>
        <c:axPos val="l"/>
        <c:majorTickMark val="out"/>
        <c:minorTickMark val="none"/>
        <c:tickLblPos val="nextTo"/>
        <c:crossAx val="117854720"/>
        <c:crosses val="autoZero"/>
        <c:auto val="1"/>
        <c:lblAlgn val="ctr"/>
        <c:lblOffset val="100"/>
        <c:noMultiLvlLbl val="0"/>
      </c:catAx>
      <c:valAx>
        <c:axId val="117854720"/>
        <c:scaling>
          <c:orientation val="minMax"/>
        </c:scaling>
        <c:delete val="0"/>
        <c:axPos val="b"/>
        <c:majorGridlines/>
        <c:numFmt formatCode="0%" sourceLinked="1"/>
        <c:majorTickMark val="out"/>
        <c:minorTickMark val="none"/>
        <c:tickLblPos val="nextTo"/>
        <c:crossAx val="13612032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6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7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8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9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632</Words>
  <Characters>3608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2023-09-22T05:37:00Z</dcterms:created>
  <dcterms:modified xsi:type="dcterms:W3CDTF">2023-09-22T05:45:00Z</dcterms:modified>
</cp:coreProperties>
</file>